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9526" w14:textId="4F07D632" w:rsidR="00E851BB" w:rsidRPr="00BE6B88" w:rsidRDefault="00E851BB" w:rsidP="00BE6B88">
      <w:pPr>
        <w:spacing w:after="200" w:line="276" w:lineRule="auto"/>
        <w:jc w:val="center"/>
        <w:rPr>
          <w:rFonts w:ascii="Times New Roman" w:eastAsia="Times New Roman" w:hAnsi="Times New Roman" w:cs="Times New Roman"/>
          <w:b/>
          <w:bCs/>
          <w:i/>
          <w:iCs/>
          <w:color w:val="000000" w:themeColor="text1"/>
          <w:sz w:val="24"/>
          <w:szCs w:val="24"/>
          <w:lang w:val="en-IN" w:bidi="kn-IN"/>
        </w:rPr>
      </w:pPr>
      <w:r w:rsidRPr="00BE6B88">
        <w:rPr>
          <w:rFonts w:ascii="Times New Roman" w:eastAsia="Times New Roman" w:hAnsi="Times New Roman" w:cs="Times New Roman"/>
          <w:b/>
          <w:bCs/>
          <w:i/>
          <w:iCs/>
          <w:color w:val="000000" w:themeColor="text1"/>
          <w:sz w:val="24"/>
          <w:szCs w:val="24"/>
          <w:lang w:val="en-IN" w:bidi="kn-IN"/>
        </w:rPr>
        <w:t xml:space="preserve">Criteria </w:t>
      </w:r>
      <w:r w:rsidR="00116146" w:rsidRPr="00BE6B88">
        <w:rPr>
          <w:rFonts w:ascii="Times New Roman" w:eastAsia="Times New Roman" w:hAnsi="Times New Roman" w:cs="Times New Roman"/>
          <w:b/>
          <w:bCs/>
          <w:i/>
          <w:iCs/>
          <w:color w:val="000000" w:themeColor="text1"/>
          <w:sz w:val="24"/>
          <w:szCs w:val="24"/>
          <w:lang w:val="en-IN" w:bidi="kn-IN"/>
        </w:rPr>
        <w:t>6.5.1</w:t>
      </w:r>
    </w:p>
    <w:p w14:paraId="0FB9FCA3" w14:textId="79D6514E" w:rsidR="00116146" w:rsidRPr="00BE6B88" w:rsidRDefault="00116146" w:rsidP="00BE6B88">
      <w:pPr>
        <w:spacing w:after="200" w:line="276" w:lineRule="auto"/>
        <w:jc w:val="center"/>
        <w:rPr>
          <w:rFonts w:ascii="Times New Roman" w:eastAsia="Times New Roman" w:hAnsi="Times New Roman" w:cs="Times New Roman"/>
          <w:b/>
          <w:bCs/>
          <w:i/>
          <w:iCs/>
          <w:color w:val="000000" w:themeColor="text1"/>
          <w:sz w:val="24"/>
          <w:szCs w:val="24"/>
          <w:lang w:val="en-IN" w:bidi="kn-IN"/>
        </w:rPr>
      </w:pPr>
      <w:r w:rsidRPr="00BE6B88">
        <w:rPr>
          <w:rFonts w:ascii="Times New Roman" w:eastAsia="Times New Roman" w:hAnsi="Times New Roman" w:cs="Times New Roman"/>
          <w:b/>
          <w:bCs/>
          <w:i/>
          <w:iCs/>
          <w:color w:val="000000" w:themeColor="text1"/>
          <w:sz w:val="24"/>
          <w:szCs w:val="24"/>
          <w:lang w:val="en-IN" w:bidi="kn-IN"/>
        </w:rPr>
        <w:t xml:space="preserve">Internal Quality Assurance Cell (IQAC) has contributed significantly for institutionalizing the quality assurance strategies and processes visible in terms of </w:t>
      </w:r>
    </w:p>
    <w:p w14:paraId="1B48883C" w14:textId="4B9EF229" w:rsidR="007F5A20" w:rsidRPr="007F5A20" w:rsidRDefault="007F5A20" w:rsidP="003A52D5">
      <w:pPr>
        <w:pStyle w:val="NormalWeb"/>
        <w:spacing w:line="276" w:lineRule="auto"/>
        <w:jc w:val="both"/>
        <w:rPr>
          <w:color w:val="FF0000"/>
          <w:sz w:val="22"/>
          <w:szCs w:val="22"/>
        </w:rPr>
      </w:pPr>
      <w:r w:rsidRPr="007F5A20">
        <w:rPr>
          <w:color w:val="FF0000"/>
          <w:sz w:val="22"/>
          <w:szCs w:val="22"/>
          <w:highlight w:val="yellow"/>
        </w:rPr>
        <w:t>Upload Student Information Handbook</w:t>
      </w:r>
    </w:p>
    <w:p w14:paraId="3DB9F562" w14:textId="03CE4563" w:rsidR="00E851BB" w:rsidRPr="00BE6B88" w:rsidRDefault="00E851BB" w:rsidP="003A52D5">
      <w:pPr>
        <w:pStyle w:val="NormalWeb"/>
        <w:spacing w:line="276" w:lineRule="auto"/>
        <w:jc w:val="both"/>
        <w:rPr>
          <w:color w:val="000000" w:themeColor="text1"/>
          <w:sz w:val="22"/>
          <w:szCs w:val="22"/>
        </w:rPr>
      </w:pPr>
      <w:r w:rsidRPr="00BE6B88">
        <w:rPr>
          <w:color w:val="000000" w:themeColor="text1"/>
          <w:sz w:val="22"/>
          <w:szCs w:val="22"/>
        </w:rPr>
        <w:t xml:space="preserve">The institute has put in place formal mechanisms for internal quality assurance and processes. The Institute emphasizes quantifiable output indicators to monitor overall performance on key functional parameters.  To achieve its mission, IMI Bhubaneswar has put in place a well defined </w:t>
      </w:r>
      <w:r w:rsidRPr="00BE6B88">
        <w:rPr>
          <w:b/>
          <w:bCs/>
          <w:i/>
          <w:iCs/>
          <w:color w:val="000000" w:themeColor="text1"/>
          <w:sz w:val="22"/>
          <w:szCs w:val="22"/>
        </w:rPr>
        <w:t>Standard Operating Procedure (SOP)</w:t>
      </w:r>
      <w:r w:rsidRPr="00BE6B88">
        <w:rPr>
          <w:color w:val="000000" w:themeColor="text1"/>
          <w:sz w:val="22"/>
          <w:szCs w:val="22"/>
        </w:rPr>
        <w:t xml:space="preserve"> for all the various verticals. The SOPs are clearly defined with respect to outcomes and goals and the procedures needed to be followed for the attainment of the goal. All key activities and systems at IMI Bhubaneswar work as per the SOP. The net result of following a well-defined SOP is that within 5 years of its inception IMI Bhubaneswar was able t</w:t>
      </w:r>
      <w:r w:rsidR="003A52D5" w:rsidRPr="00BE6B88">
        <w:rPr>
          <w:color w:val="000000" w:themeColor="text1"/>
          <w:sz w:val="22"/>
          <w:szCs w:val="22"/>
        </w:rPr>
        <w:t xml:space="preserve">o get the prestigious NBA accreditation in 2016 and was successfully reaccredited in the year 2019. The reaccreditation in 2019 has led to the grant of </w:t>
      </w:r>
      <w:r w:rsidR="003A52D5" w:rsidRPr="00BE6B88">
        <w:rPr>
          <w:b/>
          <w:bCs/>
          <w:color w:val="000000" w:themeColor="text1"/>
          <w:sz w:val="22"/>
          <w:szCs w:val="22"/>
        </w:rPr>
        <w:t>“Graded Autonomy Category II”</w:t>
      </w:r>
      <w:r w:rsidR="003A52D5" w:rsidRPr="00BE6B88">
        <w:rPr>
          <w:color w:val="000000" w:themeColor="text1"/>
          <w:sz w:val="22"/>
          <w:szCs w:val="22"/>
        </w:rPr>
        <w:t xml:space="preserve"> to IMI Bhubaneswar from AICTE. It has also been accepted as an associate member of EQUIS and is in the process of applying for full membership. To further illustrate the achievements of the IQAC we present two practices which have been internalized by the Institute:</w:t>
      </w:r>
    </w:p>
    <w:p w14:paraId="22077CBB" w14:textId="2E66EC0B" w:rsidR="00E851BB" w:rsidRPr="00BE6B88" w:rsidRDefault="00E851BB" w:rsidP="00E851BB">
      <w:pPr>
        <w:pStyle w:val="NormalWeb"/>
        <w:spacing w:line="276" w:lineRule="auto"/>
        <w:jc w:val="both"/>
        <w:rPr>
          <w:color w:val="000000" w:themeColor="text1"/>
          <w:sz w:val="22"/>
          <w:szCs w:val="22"/>
        </w:rPr>
      </w:pPr>
      <w:r w:rsidRPr="00BE6B88">
        <w:rPr>
          <w:b/>
          <w:bCs/>
          <w:color w:val="000000" w:themeColor="text1"/>
          <w:sz w:val="22"/>
          <w:szCs w:val="22"/>
        </w:rPr>
        <w:t>Placements</w:t>
      </w:r>
      <w:r w:rsidR="003A52D5" w:rsidRPr="00BE6B88">
        <w:rPr>
          <w:color w:val="000000" w:themeColor="text1"/>
          <w:sz w:val="22"/>
          <w:szCs w:val="22"/>
        </w:rPr>
        <w:t xml:space="preserve">: In the beginning, IMI Bhubaneswar followed the placement rules of IMI Delhi; but as time progressed it was found that the placement rules of IMI Delhi were creating more problems for the students and the placement team rather than solving the same. As such, over the years the rules and the SOPs for placements were changed and made more </w:t>
      </w:r>
      <w:r w:rsidR="005E3A03">
        <w:rPr>
          <w:color w:val="000000" w:themeColor="text1"/>
          <w:sz w:val="22"/>
          <w:szCs w:val="22"/>
        </w:rPr>
        <w:t>relevant to the existing conditions of IMI Bhubaneswar</w:t>
      </w:r>
      <w:r w:rsidR="003A52D5" w:rsidRPr="00BE6B88">
        <w:rPr>
          <w:color w:val="000000" w:themeColor="text1"/>
          <w:sz w:val="22"/>
          <w:szCs w:val="22"/>
        </w:rPr>
        <w:t xml:space="preserve">. </w:t>
      </w:r>
      <w:r w:rsidR="00BE6B88" w:rsidRPr="00BE6B88">
        <w:rPr>
          <w:color w:val="000000" w:themeColor="text1"/>
          <w:sz w:val="22"/>
          <w:szCs w:val="22"/>
        </w:rPr>
        <w:t>The procedure for eligibility, application, interviews, withdrawals etc. are detailed in the Student Information Handbook.</w:t>
      </w:r>
    </w:p>
    <w:p w14:paraId="51098268" w14:textId="350ECD25" w:rsidR="00447746" w:rsidRPr="00BE6B88" w:rsidRDefault="00E851BB" w:rsidP="00BE6B88">
      <w:pPr>
        <w:pStyle w:val="NormalWeb"/>
        <w:spacing w:line="276" w:lineRule="auto"/>
        <w:jc w:val="both"/>
        <w:rPr>
          <w:color w:val="000000" w:themeColor="text1"/>
          <w:sz w:val="22"/>
          <w:szCs w:val="22"/>
        </w:rPr>
      </w:pPr>
      <w:r w:rsidRPr="00BE6B88">
        <w:rPr>
          <w:b/>
          <w:bCs/>
          <w:color w:val="000000" w:themeColor="text1"/>
          <w:sz w:val="22"/>
          <w:szCs w:val="22"/>
        </w:rPr>
        <w:t>Feedback from Stakeholders</w:t>
      </w:r>
      <w:r w:rsidR="00BE6B88" w:rsidRPr="00BE6B88">
        <w:rPr>
          <w:b/>
          <w:bCs/>
          <w:color w:val="000000" w:themeColor="text1"/>
          <w:sz w:val="22"/>
          <w:szCs w:val="22"/>
        </w:rPr>
        <w:t xml:space="preserve">: </w:t>
      </w:r>
      <w:r w:rsidR="00BE6B88" w:rsidRPr="00BE6B88">
        <w:rPr>
          <w:color w:val="000000" w:themeColor="text1"/>
          <w:sz w:val="22"/>
          <w:szCs w:val="22"/>
        </w:rPr>
        <w:t xml:space="preserve">The IQAC at IMI-B periodically reviews the teaching and learning process, structures and methodologies of operations and learning outcomes by involving the </w:t>
      </w:r>
      <w:r w:rsidR="00BE6B88" w:rsidRPr="00BE6B88">
        <w:rPr>
          <w:i/>
          <w:iCs/>
          <w:color w:val="000000" w:themeColor="text1"/>
          <w:sz w:val="22"/>
          <w:szCs w:val="22"/>
        </w:rPr>
        <w:t xml:space="preserve">students, alumni, </w:t>
      </w:r>
      <w:proofErr w:type="gramStart"/>
      <w:r w:rsidR="00BE6B88" w:rsidRPr="00BE6B88">
        <w:rPr>
          <w:i/>
          <w:iCs/>
          <w:color w:val="000000" w:themeColor="text1"/>
          <w:sz w:val="22"/>
          <w:szCs w:val="22"/>
        </w:rPr>
        <w:t>faculty</w:t>
      </w:r>
      <w:proofErr w:type="gramEnd"/>
      <w:r w:rsidR="00BE6B88" w:rsidRPr="00BE6B88">
        <w:rPr>
          <w:i/>
          <w:iCs/>
          <w:color w:val="000000" w:themeColor="text1"/>
          <w:sz w:val="22"/>
          <w:szCs w:val="22"/>
        </w:rPr>
        <w:t xml:space="preserve"> and industry experts</w:t>
      </w:r>
      <w:r w:rsidR="00BE6B88" w:rsidRPr="00BE6B88">
        <w:rPr>
          <w:color w:val="000000" w:themeColor="text1"/>
          <w:sz w:val="22"/>
          <w:szCs w:val="22"/>
        </w:rPr>
        <w:t xml:space="preserve"> to obtain their feedback to make the curriculum contemporary and effective.  The meetings with students are held periodically to improve course delivery. The Institute invites suggestions from the students and alumni with regard to introduction of new elective papers. Students provide faculty feedback through the Online Learning &amp; Teaching (OLT) system. The feedback is made available to the faculty for improvement in subsequent teaching opportunity. To ensure coherence between external and internal decision-making, periodic review meetings are conducted between faculty and the governing body to ensure that course curriculum and offerings are improved every year. Also, the feedback from the industry experts is incorporated in the curriculum.  The feedback is reviewed with the Academic Advisory Council and the Governing Body to fine-tune the curriculum. </w:t>
      </w:r>
    </w:p>
    <w:p w14:paraId="19F5B3E3" w14:textId="77777777" w:rsidR="00621C10" w:rsidRPr="00BE6B88" w:rsidRDefault="00621C10">
      <w:pPr>
        <w:rPr>
          <w:color w:val="000000" w:themeColor="text1"/>
        </w:rPr>
      </w:pPr>
    </w:p>
    <w:sectPr w:rsidR="00621C10" w:rsidRPr="00BE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46"/>
    <w:rsid w:val="00116146"/>
    <w:rsid w:val="003A52D5"/>
    <w:rsid w:val="00447746"/>
    <w:rsid w:val="005E3A03"/>
    <w:rsid w:val="00621C10"/>
    <w:rsid w:val="007F5A20"/>
    <w:rsid w:val="00AD50D4"/>
    <w:rsid w:val="00BE6B88"/>
    <w:rsid w:val="00E25D8C"/>
    <w:rsid w:val="00E8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8FA9"/>
  <w15:chartTrackingRefBased/>
  <w15:docId w15:val="{EA6B3C60-A56F-497D-9C0A-2FBC66F9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1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E6B8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E6B8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5</cp:revision>
  <dcterms:created xsi:type="dcterms:W3CDTF">2021-05-29T06:18:00Z</dcterms:created>
  <dcterms:modified xsi:type="dcterms:W3CDTF">2021-06-29T11:24:00Z</dcterms:modified>
</cp:coreProperties>
</file>